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195D7D">
        <w:rPr>
          <w:rFonts w:asciiTheme="majorHAnsi" w:hAnsiTheme="majorHAnsi"/>
          <w:sz w:val="24"/>
          <w:szCs w:val="24"/>
        </w:rPr>
        <w:t>1</w:t>
      </w:r>
      <w:r w:rsidR="00BB2A96">
        <w:rPr>
          <w:rFonts w:asciiTheme="majorHAnsi" w:hAnsiTheme="majorHAnsi"/>
          <w:sz w:val="24"/>
          <w:szCs w:val="24"/>
        </w:rPr>
        <w:t>7</w:t>
      </w:r>
      <w:r w:rsidR="00E674B4" w:rsidRPr="00E674B4">
        <w:rPr>
          <w:rFonts w:asciiTheme="majorHAnsi" w:hAnsiTheme="majorHAnsi"/>
          <w:sz w:val="24"/>
          <w:szCs w:val="24"/>
          <w:vertAlign w:val="superscript"/>
        </w:rPr>
        <w:t>th</w:t>
      </w:r>
      <w:r w:rsidR="00E674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day of </w:t>
      </w:r>
      <w:r w:rsidR="00195D7D">
        <w:rPr>
          <w:rFonts w:asciiTheme="majorHAnsi" w:hAnsiTheme="majorHAnsi"/>
          <w:sz w:val="24"/>
          <w:szCs w:val="24"/>
        </w:rPr>
        <w:t>Novem</w:t>
      </w:r>
      <w:r w:rsidR="00BB2A96">
        <w:rPr>
          <w:rFonts w:asciiTheme="majorHAnsi" w:hAnsiTheme="majorHAnsi"/>
          <w:sz w:val="24"/>
          <w:szCs w:val="24"/>
        </w:rPr>
        <w:t>ber</w:t>
      </w:r>
      <w:r>
        <w:rPr>
          <w:rFonts w:asciiTheme="majorHAnsi" w:hAnsiTheme="majorHAnsi"/>
          <w:sz w:val="24"/>
          <w:szCs w:val="24"/>
        </w:rPr>
        <w:t>, 201</w:t>
      </w:r>
      <w:r w:rsidR="00E7524C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4E7D54" w:rsidRDefault="004E7D54" w:rsidP="002E29C0">
      <w:pPr>
        <w:spacing w:after="0" w:line="240" w:lineRule="auto"/>
        <w:ind w:hanging="360"/>
        <w:jc w:val="both"/>
        <w:rPr>
          <w:rFonts w:asciiTheme="majorHAnsi" w:hAnsiTheme="majorHAnsi"/>
          <w:sz w:val="24"/>
          <w:szCs w:val="24"/>
        </w:rPr>
      </w:pPr>
    </w:p>
    <w:p w:rsidR="00F75CCD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6767D3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5C4B65" w:rsidRPr="005C4B65" w:rsidRDefault="005C4B65" w:rsidP="005C4B6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87348C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  <w:sectPr w:rsidR="0087348C" w:rsidSect="007B71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3429CD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  <w:r w:rsidRPr="003429CD">
        <w:rPr>
          <w:rFonts w:asciiTheme="majorHAnsi" w:hAnsiTheme="majorHAnsi"/>
          <w:b/>
        </w:rPr>
        <w:lastRenderedPageBreak/>
        <w:t>NOTICE OF MEETING</w:t>
      </w:r>
    </w:p>
    <w:p w:rsidR="00F413D2" w:rsidRPr="003429CD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3429CD" w:rsidRDefault="00F413D2" w:rsidP="00504C89">
      <w:pPr>
        <w:spacing w:after="0" w:line="240" w:lineRule="auto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 xml:space="preserve">Notice is hereby given that the Board of Trustees of the Tyler Junior College District will meet at </w:t>
      </w:r>
      <w:r w:rsidR="002D417F" w:rsidRPr="003429CD">
        <w:rPr>
          <w:rFonts w:asciiTheme="majorHAnsi" w:hAnsiTheme="majorHAnsi"/>
        </w:rPr>
        <w:t>11:00</w:t>
      </w:r>
      <w:r w:rsidRPr="003429CD">
        <w:rPr>
          <w:rFonts w:asciiTheme="majorHAnsi" w:hAnsiTheme="majorHAnsi"/>
        </w:rPr>
        <w:t xml:space="preserve"> </w:t>
      </w:r>
      <w:r w:rsidR="002D417F" w:rsidRPr="003429CD">
        <w:rPr>
          <w:rFonts w:asciiTheme="majorHAnsi" w:hAnsiTheme="majorHAnsi"/>
        </w:rPr>
        <w:t>a</w:t>
      </w:r>
      <w:r w:rsidRPr="003429CD">
        <w:rPr>
          <w:rFonts w:asciiTheme="majorHAnsi" w:hAnsiTheme="majorHAnsi"/>
        </w:rPr>
        <w:t xml:space="preserve">.m. on the </w:t>
      </w:r>
      <w:r w:rsidR="00195D7D" w:rsidRPr="003429CD">
        <w:rPr>
          <w:rFonts w:asciiTheme="majorHAnsi" w:hAnsiTheme="majorHAnsi"/>
        </w:rPr>
        <w:t>1</w:t>
      </w:r>
      <w:r w:rsidR="00BB2A96" w:rsidRPr="003429CD">
        <w:rPr>
          <w:rFonts w:asciiTheme="majorHAnsi" w:hAnsiTheme="majorHAnsi"/>
        </w:rPr>
        <w:t>7</w:t>
      </w:r>
      <w:r w:rsidR="0008760C" w:rsidRPr="003429CD">
        <w:rPr>
          <w:rFonts w:asciiTheme="majorHAnsi" w:hAnsiTheme="majorHAnsi"/>
          <w:vertAlign w:val="superscript"/>
        </w:rPr>
        <w:t>th</w:t>
      </w:r>
      <w:r w:rsidR="0008760C" w:rsidRPr="003429CD">
        <w:rPr>
          <w:rFonts w:asciiTheme="majorHAnsi" w:hAnsiTheme="majorHAnsi"/>
        </w:rPr>
        <w:t xml:space="preserve"> </w:t>
      </w:r>
      <w:r w:rsidR="00604F28" w:rsidRPr="003429CD">
        <w:rPr>
          <w:rFonts w:asciiTheme="majorHAnsi" w:hAnsiTheme="majorHAnsi"/>
        </w:rPr>
        <w:t>day</w:t>
      </w:r>
      <w:r w:rsidR="0066381C" w:rsidRPr="003429CD">
        <w:rPr>
          <w:rFonts w:asciiTheme="majorHAnsi" w:hAnsiTheme="majorHAnsi"/>
        </w:rPr>
        <w:t xml:space="preserve"> </w:t>
      </w:r>
      <w:r w:rsidRPr="003429CD">
        <w:rPr>
          <w:rFonts w:asciiTheme="majorHAnsi" w:hAnsiTheme="majorHAnsi"/>
        </w:rPr>
        <w:t xml:space="preserve">of </w:t>
      </w:r>
      <w:r w:rsidR="00195D7D" w:rsidRPr="003429CD">
        <w:rPr>
          <w:rFonts w:asciiTheme="majorHAnsi" w:hAnsiTheme="majorHAnsi"/>
        </w:rPr>
        <w:t>Novem</w:t>
      </w:r>
      <w:r w:rsidR="00BB2A96" w:rsidRPr="003429CD">
        <w:rPr>
          <w:rFonts w:asciiTheme="majorHAnsi" w:hAnsiTheme="majorHAnsi"/>
        </w:rPr>
        <w:t>ber</w:t>
      </w:r>
      <w:r w:rsidR="00180F5A" w:rsidRPr="003429CD">
        <w:rPr>
          <w:rFonts w:asciiTheme="majorHAnsi" w:hAnsiTheme="majorHAnsi"/>
        </w:rPr>
        <w:t>, 201</w:t>
      </w:r>
      <w:r w:rsidR="00E7524C" w:rsidRPr="003429CD">
        <w:rPr>
          <w:rFonts w:asciiTheme="majorHAnsi" w:hAnsiTheme="majorHAnsi"/>
        </w:rPr>
        <w:t>6</w:t>
      </w:r>
      <w:r w:rsidRPr="003429CD">
        <w:rPr>
          <w:rFonts w:asciiTheme="majorHAnsi" w:hAnsiTheme="majorHAnsi"/>
        </w:rPr>
        <w:t xml:space="preserve">, in </w:t>
      </w:r>
      <w:r w:rsidR="002D417F" w:rsidRPr="003429CD">
        <w:rPr>
          <w:rFonts w:asciiTheme="majorHAnsi" w:hAnsiTheme="majorHAnsi"/>
        </w:rPr>
        <w:t xml:space="preserve">the </w:t>
      </w:r>
      <w:r w:rsidR="00687847" w:rsidRPr="003429CD">
        <w:rPr>
          <w:rFonts w:asciiTheme="majorHAnsi" w:hAnsiTheme="majorHAnsi"/>
        </w:rPr>
        <w:t>Board Room, White Administrative S</w:t>
      </w:r>
      <w:r w:rsidR="008C1B80" w:rsidRPr="003429CD">
        <w:rPr>
          <w:rFonts w:asciiTheme="majorHAnsi" w:hAnsiTheme="majorHAnsi"/>
        </w:rPr>
        <w:t>e</w:t>
      </w:r>
      <w:r w:rsidR="00687847" w:rsidRPr="003429CD">
        <w:rPr>
          <w:rFonts w:asciiTheme="majorHAnsi" w:hAnsiTheme="majorHAnsi"/>
        </w:rPr>
        <w:t xml:space="preserve">rvices Center, </w:t>
      </w:r>
      <w:r w:rsidR="002D417F" w:rsidRPr="003429CD">
        <w:rPr>
          <w:rFonts w:asciiTheme="majorHAnsi" w:hAnsiTheme="majorHAnsi"/>
        </w:rPr>
        <w:t>at the College in the City of Tyler, Texas, for the pur</w:t>
      </w:r>
      <w:r w:rsidRPr="003429CD">
        <w:rPr>
          <w:rFonts w:asciiTheme="majorHAnsi" w:hAnsiTheme="majorHAnsi"/>
        </w:rPr>
        <w:t>pose of addressing the following agenda:</w:t>
      </w:r>
    </w:p>
    <w:p w:rsidR="00F413D2" w:rsidRPr="003429CD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</w:rPr>
      </w:pPr>
    </w:p>
    <w:p w:rsidR="00A01370" w:rsidRPr="003429CD" w:rsidRDefault="00195D7D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Consideration of minutes of the meeting held on October 27, 2016</w:t>
      </w:r>
      <w:r w:rsidR="00A01370" w:rsidRPr="003429CD">
        <w:rPr>
          <w:rFonts w:asciiTheme="majorHAnsi" w:hAnsiTheme="majorHAnsi"/>
        </w:rPr>
        <w:t>.</w:t>
      </w:r>
    </w:p>
    <w:p w:rsidR="0000714D" w:rsidRPr="003429CD" w:rsidRDefault="009406D0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Presentation on FAFSA Super Saturday</w:t>
      </w:r>
      <w:r w:rsidR="0000714D" w:rsidRPr="003429CD">
        <w:rPr>
          <w:rFonts w:asciiTheme="majorHAnsi" w:hAnsiTheme="majorHAnsi"/>
        </w:rPr>
        <w:t>.</w:t>
      </w:r>
    </w:p>
    <w:p w:rsidR="003429CD" w:rsidRDefault="00195D7D" w:rsidP="0094271F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 xml:space="preserve">Consideration of a resolution in support of and urging immediate action for development and implementation of construction improvements by </w:t>
      </w:r>
      <w:proofErr w:type="spellStart"/>
      <w:r w:rsidRPr="003429CD">
        <w:rPr>
          <w:rFonts w:asciiTheme="majorHAnsi" w:hAnsiTheme="majorHAnsi"/>
        </w:rPr>
        <w:t>TXDoT</w:t>
      </w:r>
      <w:proofErr w:type="spellEnd"/>
      <w:r w:rsidRPr="003429CD">
        <w:rPr>
          <w:rFonts w:asciiTheme="majorHAnsi" w:hAnsiTheme="majorHAnsi"/>
        </w:rPr>
        <w:t xml:space="preserve"> on US Highway 271 between Tyler </w:t>
      </w:r>
    </w:p>
    <w:p w:rsidR="0008760C" w:rsidRPr="003429CD" w:rsidRDefault="00195D7D" w:rsidP="00F31C0C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proofErr w:type="gramStart"/>
      <w:r w:rsidRPr="003429CD">
        <w:rPr>
          <w:rFonts w:asciiTheme="majorHAnsi" w:hAnsiTheme="majorHAnsi"/>
        </w:rPr>
        <w:t>and</w:t>
      </w:r>
      <w:proofErr w:type="gramEnd"/>
      <w:r w:rsidRPr="003429CD">
        <w:rPr>
          <w:rFonts w:asciiTheme="majorHAnsi" w:hAnsiTheme="majorHAnsi"/>
        </w:rPr>
        <w:t xml:space="preserve"> Paris, TX and points north</w:t>
      </w:r>
      <w:r w:rsidR="0008760C" w:rsidRPr="003429CD">
        <w:rPr>
          <w:rFonts w:asciiTheme="majorHAnsi" w:hAnsiTheme="majorHAnsi"/>
        </w:rPr>
        <w:t>.</w:t>
      </w:r>
    </w:p>
    <w:p w:rsidR="003429CD" w:rsidRDefault="00AD4043" w:rsidP="003429C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 xml:space="preserve">Consideration of certification of the 2016 tax roll for Smith County in accordance with Section </w:t>
      </w:r>
    </w:p>
    <w:p w:rsidR="00B176B9" w:rsidRPr="003429CD" w:rsidRDefault="00AD4043" w:rsidP="00F31C0C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proofErr w:type="gramStart"/>
      <w:r w:rsidRPr="003429CD">
        <w:rPr>
          <w:rFonts w:asciiTheme="majorHAnsi" w:hAnsiTheme="majorHAnsi"/>
        </w:rPr>
        <w:t>26.09(e) of the State Property Tax Code</w:t>
      </w:r>
      <w:r w:rsidR="00B176B9" w:rsidRPr="003429CD">
        <w:rPr>
          <w:rFonts w:asciiTheme="majorHAnsi" w:hAnsiTheme="majorHAnsi"/>
        </w:rPr>
        <w:t>.</w:t>
      </w:r>
      <w:proofErr w:type="gramEnd"/>
    </w:p>
    <w:p w:rsidR="0000714D" w:rsidRPr="003429CD" w:rsidRDefault="00AD4043" w:rsidP="00F31C0C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Consideration of monthly financial and investment reports</w:t>
      </w:r>
      <w:r w:rsidR="00281C6F" w:rsidRPr="003429CD">
        <w:rPr>
          <w:rFonts w:asciiTheme="majorHAnsi" w:hAnsiTheme="majorHAnsi"/>
        </w:rPr>
        <w:t>.</w:t>
      </w:r>
    </w:p>
    <w:p w:rsidR="00E02A17" w:rsidRPr="003429CD" w:rsidRDefault="00E02A17" w:rsidP="00AD4043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Consent agenda:</w:t>
      </w:r>
    </w:p>
    <w:p w:rsidR="00436A79" w:rsidRPr="003429CD" w:rsidRDefault="00FC20F3" w:rsidP="00AD4043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 w:rsidRPr="003429CD">
        <w:rPr>
          <w:rFonts w:asciiTheme="majorHAnsi" w:hAnsiTheme="majorHAnsi"/>
          <w:bCs/>
        </w:rPr>
        <w:t>c</w:t>
      </w:r>
      <w:r w:rsidR="00195D7D" w:rsidRPr="003429CD">
        <w:rPr>
          <w:rFonts w:asciiTheme="majorHAnsi" w:hAnsiTheme="majorHAnsi"/>
          <w:bCs/>
        </w:rPr>
        <w:t xml:space="preserve">onsideration of </w:t>
      </w:r>
      <w:r w:rsidR="009406D0" w:rsidRPr="003429CD">
        <w:rPr>
          <w:rFonts w:asciiTheme="majorHAnsi" w:hAnsiTheme="majorHAnsi"/>
          <w:bCs/>
        </w:rPr>
        <w:t xml:space="preserve">drainage easement for the City of Tyler to construct, reconstruct and perpetually maintain drainage facilities upon and across the .056 acre tract of land situated in the A. </w:t>
      </w:r>
      <w:proofErr w:type="spellStart"/>
      <w:r w:rsidR="009406D0" w:rsidRPr="003429CD">
        <w:rPr>
          <w:rFonts w:asciiTheme="majorHAnsi" w:hAnsiTheme="majorHAnsi"/>
          <w:bCs/>
        </w:rPr>
        <w:t>Neighbours</w:t>
      </w:r>
      <w:proofErr w:type="spellEnd"/>
      <w:r w:rsidR="009406D0" w:rsidRPr="003429CD">
        <w:rPr>
          <w:rFonts w:asciiTheme="majorHAnsi" w:hAnsiTheme="majorHAnsi"/>
          <w:bCs/>
        </w:rPr>
        <w:t xml:space="preserve"> Survey, Abstract No. 738, Smith County, Texas, and being part of Lot 1, NCB 622-C of Apache Heights.</w:t>
      </w:r>
      <w:r w:rsidR="00503338" w:rsidRPr="003429CD">
        <w:rPr>
          <w:rFonts w:asciiTheme="majorHAnsi" w:hAnsiTheme="majorHAnsi"/>
          <w:bCs/>
        </w:rPr>
        <w:t>;</w:t>
      </w:r>
    </w:p>
    <w:p w:rsidR="00503338" w:rsidRPr="003429CD" w:rsidRDefault="00FC20F3" w:rsidP="006C1E4A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 w:rsidRPr="003429CD">
        <w:rPr>
          <w:rFonts w:asciiTheme="majorHAnsi" w:hAnsiTheme="majorHAnsi"/>
          <w:bCs/>
        </w:rPr>
        <w:t>c</w:t>
      </w:r>
      <w:r w:rsidR="00AD4043" w:rsidRPr="003429CD">
        <w:rPr>
          <w:rFonts w:asciiTheme="majorHAnsi" w:hAnsiTheme="majorHAnsi"/>
          <w:bCs/>
        </w:rPr>
        <w:t xml:space="preserve">onsideration of purchase of Ellucian Analytics through the 2016 </w:t>
      </w:r>
      <w:r w:rsidRPr="003429CD">
        <w:rPr>
          <w:rFonts w:asciiTheme="majorHAnsi" w:hAnsiTheme="majorHAnsi"/>
          <w:bCs/>
        </w:rPr>
        <w:t>Texas Connection Consortium contract</w:t>
      </w:r>
      <w:r w:rsidR="00CB3DCB" w:rsidRPr="003429CD">
        <w:rPr>
          <w:rFonts w:asciiTheme="majorHAnsi" w:hAnsiTheme="majorHAnsi"/>
          <w:bCs/>
        </w:rPr>
        <w:t>;</w:t>
      </w:r>
    </w:p>
    <w:p w:rsidR="00CB3DCB" w:rsidRPr="003429CD" w:rsidRDefault="00194F2B" w:rsidP="003429CD">
      <w:pPr>
        <w:pStyle w:val="ListParagraph"/>
        <w:numPr>
          <w:ilvl w:val="1"/>
          <w:numId w:val="8"/>
        </w:numPr>
        <w:spacing w:after="0" w:line="360" w:lineRule="auto"/>
        <w:ind w:left="994" w:right="360" w:hanging="274"/>
        <w:jc w:val="both"/>
        <w:rPr>
          <w:rFonts w:asciiTheme="majorHAnsi" w:hAnsiTheme="majorHAnsi"/>
          <w:bCs/>
        </w:rPr>
      </w:pPr>
      <w:r w:rsidRPr="003429CD">
        <w:rPr>
          <w:rFonts w:asciiTheme="majorHAnsi" w:hAnsiTheme="majorHAnsi"/>
          <w:bCs/>
        </w:rPr>
        <w:t>consideration of commercial lease for TJC-Lindale with Lindale CBC, LLC</w:t>
      </w:r>
      <w:r w:rsidR="00B1324E" w:rsidRPr="003429CD">
        <w:rPr>
          <w:rFonts w:asciiTheme="majorHAnsi" w:hAnsiTheme="majorHAnsi"/>
          <w:bCs/>
        </w:rPr>
        <w:t>;</w:t>
      </w:r>
    </w:p>
    <w:p w:rsidR="00F0656E" w:rsidRPr="003429CD" w:rsidRDefault="00F0656E" w:rsidP="00F31C0C">
      <w:pPr>
        <w:pStyle w:val="ListParagraph"/>
        <w:numPr>
          <w:ilvl w:val="0"/>
          <w:numId w:val="8"/>
        </w:numPr>
        <w:spacing w:after="0" w:line="36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President’s Report.</w:t>
      </w:r>
    </w:p>
    <w:p w:rsidR="00E02142" w:rsidRPr="003429CD" w:rsidRDefault="00E02142" w:rsidP="00FC20F3">
      <w:pPr>
        <w:pStyle w:val="ListParagraph"/>
        <w:numPr>
          <w:ilvl w:val="0"/>
          <w:numId w:val="8"/>
        </w:numPr>
        <w:spacing w:after="0" w:line="24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Closed meeting:</w:t>
      </w:r>
    </w:p>
    <w:p w:rsidR="003429CD" w:rsidRDefault="008C1B80" w:rsidP="00FC20F3">
      <w:pPr>
        <w:pStyle w:val="ListParagraph"/>
        <w:numPr>
          <w:ilvl w:val="1"/>
          <w:numId w:val="8"/>
        </w:numPr>
        <w:tabs>
          <w:tab w:val="left" w:pos="990"/>
        </w:tabs>
        <w:spacing w:after="0" w:line="240" w:lineRule="auto"/>
        <w:ind w:left="990" w:right="360" w:hanging="27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p</w:t>
      </w:r>
      <w:r w:rsidR="00E02142" w:rsidRPr="003429CD">
        <w:rPr>
          <w:rFonts w:asciiTheme="majorHAnsi" w:hAnsiTheme="majorHAnsi"/>
        </w:rPr>
        <w:t xml:space="preserve">ersonnel matters (Government Code 551.074) including appointment, resignation, </w:t>
      </w:r>
    </w:p>
    <w:p w:rsidR="00E02142" w:rsidRDefault="00E02142" w:rsidP="003429CD">
      <w:pPr>
        <w:pStyle w:val="ListParagraph"/>
        <w:tabs>
          <w:tab w:val="left" w:pos="990"/>
        </w:tabs>
        <w:spacing w:after="0" w:line="240" w:lineRule="auto"/>
        <w:ind w:left="990" w:right="360"/>
        <w:jc w:val="both"/>
        <w:rPr>
          <w:rFonts w:asciiTheme="majorHAnsi" w:hAnsiTheme="majorHAnsi"/>
        </w:rPr>
      </w:pPr>
      <w:proofErr w:type="gramStart"/>
      <w:r w:rsidRPr="003429CD">
        <w:rPr>
          <w:rFonts w:asciiTheme="majorHAnsi" w:hAnsiTheme="majorHAnsi"/>
        </w:rPr>
        <w:t>retirement</w:t>
      </w:r>
      <w:proofErr w:type="gramEnd"/>
      <w:r w:rsidRPr="003429CD">
        <w:rPr>
          <w:rFonts w:asciiTheme="majorHAnsi" w:hAnsiTheme="majorHAnsi"/>
        </w:rPr>
        <w:t xml:space="preserve"> and leave </w:t>
      </w:r>
      <w:r w:rsidR="00AA4613" w:rsidRPr="003429CD">
        <w:rPr>
          <w:rFonts w:asciiTheme="majorHAnsi" w:hAnsiTheme="majorHAnsi"/>
        </w:rPr>
        <w:t>of absence of faculty and staff;</w:t>
      </w:r>
    </w:p>
    <w:p w:rsidR="003429CD" w:rsidRPr="003429CD" w:rsidRDefault="003429CD" w:rsidP="00F31C0C">
      <w:pPr>
        <w:pStyle w:val="ListParagraph"/>
        <w:tabs>
          <w:tab w:val="left" w:pos="990"/>
        </w:tabs>
        <w:spacing w:after="0" w:line="360" w:lineRule="auto"/>
        <w:ind w:right="36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b</w:t>
      </w:r>
      <w:proofErr w:type="gramEnd"/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tab/>
        <w:t>deliberation regarding real property (Government Code 551.072).</w:t>
      </w:r>
    </w:p>
    <w:p w:rsidR="00FC20F3" w:rsidRPr="003429CD" w:rsidRDefault="00FC20F3" w:rsidP="00FC20F3">
      <w:pPr>
        <w:pStyle w:val="ListParagraph"/>
        <w:numPr>
          <w:ilvl w:val="0"/>
          <w:numId w:val="8"/>
        </w:numPr>
        <w:tabs>
          <w:tab w:val="left" w:pos="990"/>
        </w:tabs>
        <w:spacing w:after="0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Consideration of personnel matters.</w:t>
      </w:r>
    </w:p>
    <w:p w:rsidR="00EB73A4" w:rsidRPr="003429CD" w:rsidRDefault="00EB73A4" w:rsidP="00EB73A4">
      <w:pPr>
        <w:tabs>
          <w:tab w:val="left" w:pos="990"/>
        </w:tabs>
        <w:spacing w:after="0"/>
        <w:ind w:right="360"/>
        <w:jc w:val="both"/>
        <w:rPr>
          <w:rFonts w:asciiTheme="majorHAnsi" w:hAnsiTheme="majorHAnsi"/>
        </w:rPr>
      </w:pPr>
    </w:p>
    <w:p w:rsidR="00EB73A4" w:rsidRPr="003429CD" w:rsidRDefault="00EB73A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bookmarkStart w:id="0" w:name="_GoBack"/>
      <w:bookmarkEnd w:id="0"/>
    </w:p>
    <w:p w:rsidR="00ED12A0" w:rsidRPr="003429CD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  <w:u w:val="single"/>
        </w:rPr>
        <w:tab/>
      </w:r>
      <w:r w:rsidR="00ED12A0" w:rsidRPr="003429CD">
        <w:rPr>
          <w:rFonts w:asciiTheme="majorHAnsi" w:hAnsiTheme="majorHAnsi"/>
          <w:u w:val="single"/>
        </w:rPr>
        <w:tab/>
      </w:r>
      <w:r w:rsidR="00ED12A0" w:rsidRPr="003429CD">
        <w:rPr>
          <w:rFonts w:asciiTheme="majorHAnsi" w:hAnsiTheme="majorHAnsi"/>
          <w:u w:val="single"/>
        </w:rPr>
        <w:tab/>
      </w:r>
      <w:r w:rsidR="00ED12A0" w:rsidRPr="003429CD">
        <w:rPr>
          <w:rFonts w:asciiTheme="majorHAnsi" w:hAnsiTheme="majorHAnsi"/>
          <w:u w:val="single"/>
        </w:rPr>
        <w:tab/>
      </w:r>
      <w:r w:rsidR="00ED12A0" w:rsidRPr="003429CD">
        <w:rPr>
          <w:rFonts w:asciiTheme="majorHAnsi" w:hAnsiTheme="majorHAnsi"/>
          <w:u w:val="single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</w:r>
      <w:r w:rsidR="00ED12A0" w:rsidRPr="003429CD">
        <w:rPr>
          <w:rFonts w:asciiTheme="majorHAnsi" w:hAnsiTheme="majorHAnsi"/>
        </w:rPr>
        <w:tab/>
        <w:t>Ellen Matthews, Secretary</w:t>
      </w:r>
    </w:p>
    <w:p w:rsidR="00EB73A4" w:rsidRPr="003429CD" w:rsidRDefault="00EB73A4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</w:p>
    <w:p w:rsidR="005F2D7F" w:rsidRPr="003429CD" w:rsidRDefault="00ED12A0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  <w:u w:val="single"/>
        </w:rPr>
        <w:tab/>
      </w:r>
      <w:r w:rsidRPr="003429CD">
        <w:rPr>
          <w:rFonts w:asciiTheme="majorHAnsi" w:hAnsiTheme="majorHAnsi"/>
          <w:u w:val="single"/>
        </w:rPr>
        <w:tab/>
      </w:r>
      <w:r w:rsidRPr="003429CD">
        <w:rPr>
          <w:rFonts w:asciiTheme="majorHAnsi" w:hAnsiTheme="majorHAnsi"/>
          <w:u w:val="single"/>
        </w:rPr>
        <w:tab/>
      </w:r>
      <w:r w:rsidRPr="003429CD">
        <w:rPr>
          <w:rFonts w:asciiTheme="majorHAnsi" w:hAnsiTheme="majorHAnsi"/>
          <w:u w:val="single"/>
        </w:rPr>
        <w:tab/>
      </w:r>
      <w:r w:rsidRPr="003429CD">
        <w:rPr>
          <w:rFonts w:asciiTheme="majorHAnsi" w:hAnsiTheme="majorHAnsi"/>
          <w:u w:val="single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</w:r>
      <w:r w:rsidRPr="003429CD">
        <w:rPr>
          <w:rFonts w:asciiTheme="majorHAnsi" w:hAnsiTheme="majorHAnsi"/>
        </w:rPr>
        <w:tab/>
        <w:t>Date and Time posted</w:t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  <w:r w:rsidR="005F2D7F" w:rsidRPr="003429CD">
        <w:rPr>
          <w:rFonts w:asciiTheme="majorHAnsi" w:hAnsiTheme="majorHAnsi"/>
        </w:rPr>
        <w:tab/>
      </w:r>
    </w:p>
    <w:sectPr w:rsidR="005F2D7F" w:rsidRPr="003429CD" w:rsidSect="003429CD">
      <w:pgSz w:w="12240" w:h="15840"/>
      <w:pgMar w:top="345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6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7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2"/>
  </w:num>
  <w:num w:numId="5">
    <w:abstractNumId w:val="5"/>
  </w:num>
  <w:num w:numId="6">
    <w:abstractNumId w:val="18"/>
  </w:num>
  <w:num w:numId="7">
    <w:abstractNumId w:val="17"/>
  </w:num>
  <w:num w:numId="8">
    <w:abstractNumId w:val="12"/>
  </w:num>
  <w:num w:numId="9">
    <w:abstractNumId w:val="1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5"/>
  </w:num>
  <w:num w:numId="18">
    <w:abstractNumId w:val="19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51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A61"/>
    <w:rsid w:val="00044C20"/>
    <w:rsid w:val="00045C3D"/>
    <w:rsid w:val="00055071"/>
    <w:rsid w:val="000611B5"/>
    <w:rsid w:val="000612D6"/>
    <w:rsid w:val="00061368"/>
    <w:rsid w:val="00070435"/>
    <w:rsid w:val="00075CFE"/>
    <w:rsid w:val="00076690"/>
    <w:rsid w:val="0008426E"/>
    <w:rsid w:val="0008760C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E3BF0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300C"/>
    <w:rsid w:val="00147C45"/>
    <w:rsid w:val="00151065"/>
    <w:rsid w:val="00153B6E"/>
    <w:rsid w:val="00161D6E"/>
    <w:rsid w:val="00170207"/>
    <w:rsid w:val="00172D60"/>
    <w:rsid w:val="001732C9"/>
    <w:rsid w:val="00180F5A"/>
    <w:rsid w:val="0018154D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6433F"/>
    <w:rsid w:val="00270D9A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C01A6"/>
    <w:rsid w:val="002C6E31"/>
    <w:rsid w:val="002D417F"/>
    <w:rsid w:val="002E29C0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6103"/>
    <w:rsid w:val="003376B1"/>
    <w:rsid w:val="003429CD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61E"/>
    <w:rsid w:val="003C3C81"/>
    <w:rsid w:val="003C5CA7"/>
    <w:rsid w:val="003C7F75"/>
    <w:rsid w:val="003D58C8"/>
    <w:rsid w:val="003E5D32"/>
    <w:rsid w:val="003E5EDB"/>
    <w:rsid w:val="003F11C3"/>
    <w:rsid w:val="003F1F60"/>
    <w:rsid w:val="003F1FAD"/>
    <w:rsid w:val="003F2058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63153"/>
    <w:rsid w:val="004669F9"/>
    <w:rsid w:val="00466D18"/>
    <w:rsid w:val="004704E8"/>
    <w:rsid w:val="00473F98"/>
    <w:rsid w:val="00476C2D"/>
    <w:rsid w:val="00487A33"/>
    <w:rsid w:val="0049247A"/>
    <w:rsid w:val="004925CE"/>
    <w:rsid w:val="004927FA"/>
    <w:rsid w:val="004A0319"/>
    <w:rsid w:val="004A328F"/>
    <w:rsid w:val="004A45E1"/>
    <w:rsid w:val="004B13AB"/>
    <w:rsid w:val="004B3BB9"/>
    <w:rsid w:val="004B507B"/>
    <w:rsid w:val="004B7813"/>
    <w:rsid w:val="004C19D2"/>
    <w:rsid w:val="004C2AB3"/>
    <w:rsid w:val="004D135F"/>
    <w:rsid w:val="004E7D54"/>
    <w:rsid w:val="004F62AC"/>
    <w:rsid w:val="004F671D"/>
    <w:rsid w:val="00502550"/>
    <w:rsid w:val="00503338"/>
    <w:rsid w:val="00504C89"/>
    <w:rsid w:val="00507188"/>
    <w:rsid w:val="005176F9"/>
    <w:rsid w:val="00527854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A4E23"/>
    <w:rsid w:val="005C06F0"/>
    <w:rsid w:val="005C07C4"/>
    <w:rsid w:val="005C235F"/>
    <w:rsid w:val="005C2C8F"/>
    <w:rsid w:val="005C4B65"/>
    <w:rsid w:val="005C7D0F"/>
    <w:rsid w:val="005D46D6"/>
    <w:rsid w:val="005D5FA7"/>
    <w:rsid w:val="005D7882"/>
    <w:rsid w:val="005E0E7A"/>
    <w:rsid w:val="005E296C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3408"/>
    <w:rsid w:val="00625470"/>
    <w:rsid w:val="00632697"/>
    <w:rsid w:val="00635494"/>
    <w:rsid w:val="00644B90"/>
    <w:rsid w:val="0064777E"/>
    <w:rsid w:val="00650B40"/>
    <w:rsid w:val="00652050"/>
    <w:rsid w:val="0066381C"/>
    <w:rsid w:val="0067034D"/>
    <w:rsid w:val="006767D3"/>
    <w:rsid w:val="00676C3B"/>
    <w:rsid w:val="00680B94"/>
    <w:rsid w:val="0068778D"/>
    <w:rsid w:val="00687847"/>
    <w:rsid w:val="006908FE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3941"/>
    <w:rsid w:val="006B495C"/>
    <w:rsid w:val="006C1E4A"/>
    <w:rsid w:val="006C5B6E"/>
    <w:rsid w:val="006D372D"/>
    <w:rsid w:val="006D57BF"/>
    <w:rsid w:val="006F4CD8"/>
    <w:rsid w:val="006F7849"/>
    <w:rsid w:val="00703571"/>
    <w:rsid w:val="00704654"/>
    <w:rsid w:val="00705D32"/>
    <w:rsid w:val="00707EA5"/>
    <w:rsid w:val="0071025A"/>
    <w:rsid w:val="00712E37"/>
    <w:rsid w:val="007159AF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393A"/>
    <w:rsid w:val="007874AD"/>
    <w:rsid w:val="00794E52"/>
    <w:rsid w:val="00796585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189B"/>
    <w:rsid w:val="007D4B35"/>
    <w:rsid w:val="007E2EE5"/>
    <w:rsid w:val="007E2FA3"/>
    <w:rsid w:val="007E4FE7"/>
    <w:rsid w:val="007F0C68"/>
    <w:rsid w:val="007F3D0A"/>
    <w:rsid w:val="007F5266"/>
    <w:rsid w:val="00800003"/>
    <w:rsid w:val="00801C0D"/>
    <w:rsid w:val="00811FDE"/>
    <w:rsid w:val="00821AAC"/>
    <w:rsid w:val="00822DE3"/>
    <w:rsid w:val="00824EF2"/>
    <w:rsid w:val="00836035"/>
    <w:rsid w:val="00837AB7"/>
    <w:rsid w:val="0084008C"/>
    <w:rsid w:val="008438FF"/>
    <w:rsid w:val="00846290"/>
    <w:rsid w:val="00847F3D"/>
    <w:rsid w:val="00853EDE"/>
    <w:rsid w:val="00861DEE"/>
    <w:rsid w:val="008629FF"/>
    <w:rsid w:val="00865A5F"/>
    <w:rsid w:val="008667D7"/>
    <w:rsid w:val="00871737"/>
    <w:rsid w:val="00871DAC"/>
    <w:rsid w:val="00872274"/>
    <w:rsid w:val="0087348C"/>
    <w:rsid w:val="008741E5"/>
    <w:rsid w:val="008850D6"/>
    <w:rsid w:val="00887E2A"/>
    <w:rsid w:val="0089106A"/>
    <w:rsid w:val="0089130F"/>
    <w:rsid w:val="008933C0"/>
    <w:rsid w:val="008A1379"/>
    <w:rsid w:val="008B40D7"/>
    <w:rsid w:val="008C1B80"/>
    <w:rsid w:val="008C4E99"/>
    <w:rsid w:val="008D4165"/>
    <w:rsid w:val="008D5476"/>
    <w:rsid w:val="008D6959"/>
    <w:rsid w:val="008D6C8D"/>
    <w:rsid w:val="008D7291"/>
    <w:rsid w:val="008E316C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36D3"/>
    <w:rsid w:val="00953763"/>
    <w:rsid w:val="00953B1B"/>
    <w:rsid w:val="009609F7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76EC"/>
    <w:rsid w:val="00A10F7D"/>
    <w:rsid w:val="00A1439A"/>
    <w:rsid w:val="00A17810"/>
    <w:rsid w:val="00A20E47"/>
    <w:rsid w:val="00A36B1A"/>
    <w:rsid w:val="00A431C2"/>
    <w:rsid w:val="00A444D5"/>
    <w:rsid w:val="00A549DA"/>
    <w:rsid w:val="00A5714A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5473"/>
    <w:rsid w:val="00C32D3E"/>
    <w:rsid w:val="00C34A16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A32"/>
    <w:rsid w:val="00C75651"/>
    <w:rsid w:val="00C80D1E"/>
    <w:rsid w:val="00C825B4"/>
    <w:rsid w:val="00C82D4B"/>
    <w:rsid w:val="00C84597"/>
    <w:rsid w:val="00C85BB7"/>
    <w:rsid w:val="00CA0C9C"/>
    <w:rsid w:val="00CA5B44"/>
    <w:rsid w:val="00CA7611"/>
    <w:rsid w:val="00CB2824"/>
    <w:rsid w:val="00CB3DCB"/>
    <w:rsid w:val="00CB6010"/>
    <w:rsid w:val="00CB6B98"/>
    <w:rsid w:val="00CC3DF5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3899"/>
    <w:rsid w:val="00D033A8"/>
    <w:rsid w:val="00D147A5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27D"/>
    <w:rsid w:val="00E0163E"/>
    <w:rsid w:val="00E02142"/>
    <w:rsid w:val="00E02A17"/>
    <w:rsid w:val="00E13968"/>
    <w:rsid w:val="00E202D1"/>
    <w:rsid w:val="00E23E61"/>
    <w:rsid w:val="00E33354"/>
    <w:rsid w:val="00E44510"/>
    <w:rsid w:val="00E5409E"/>
    <w:rsid w:val="00E56A50"/>
    <w:rsid w:val="00E612DC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EA"/>
    <w:rsid w:val="00EA1370"/>
    <w:rsid w:val="00EB7083"/>
    <w:rsid w:val="00EB73A4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45A9"/>
    <w:rsid w:val="00EF473C"/>
    <w:rsid w:val="00F0656E"/>
    <w:rsid w:val="00F066D3"/>
    <w:rsid w:val="00F10ED6"/>
    <w:rsid w:val="00F12CC6"/>
    <w:rsid w:val="00F15135"/>
    <w:rsid w:val="00F15258"/>
    <w:rsid w:val="00F153F5"/>
    <w:rsid w:val="00F3055C"/>
    <w:rsid w:val="00F31C0C"/>
    <w:rsid w:val="00F413D2"/>
    <w:rsid w:val="00F420F9"/>
    <w:rsid w:val="00F45492"/>
    <w:rsid w:val="00F47A5E"/>
    <w:rsid w:val="00F53F57"/>
    <w:rsid w:val="00F62694"/>
    <w:rsid w:val="00F65BF8"/>
    <w:rsid w:val="00F727F0"/>
    <w:rsid w:val="00F75CCD"/>
    <w:rsid w:val="00F811AB"/>
    <w:rsid w:val="00F90D5E"/>
    <w:rsid w:val="00F90E62"/>
    <w:rsid w:val="00F96399"/>
    <w:rsid w:val="00FA17B1"/>
    <w:rsid w:val="00FA7985"/>
    <w:rsid w:val="00FB031B"/>
    <w:rsid w:val="00FC20F3"/>
    <w:rsid w:val="00FD4345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250</cp:revision>
  <cp:lastPrinted>2016-11-14T15:42:00Z</cp:lastPrinted>
  <dcterms:created xsi:type="dcterms:W3CDTF">2012-02-14T20:09:00Z</dcterms:created>
  <dcterms:modified xsi:type="dcterms:W3CDTF">2016-11-14T16:20:00Z</dcterms:modified>
</cp:coreProperties>
</file>